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B652B" w14:textId="77777777" w:rsidR="00D949FA" w:rsidRDefault="00D949FA" w:rsidP="00D949FA">
      <w:pPr>
        <w:pStyle w:val="Default"/>
      </w:pPr>
    </w:p>
    <w:p w14:paraId="49252226" w14:textId="04BB10C3" w:rsidR="00D949FA" w:rsidRDefault="00D949FA" w:rsidP="00D949FA">
      <w:pPr>
        <w:pStyle w:val="Default"/>
        <w:jc w:val="center"/>
        <w:rPr>
          <w:b/>
          <w:bCs/>
          <w:sz w:val="23"/>
          <w:szCs w:val="23"/>
        </w:rPr>
      </w:pPr>
      <w:r>
        <w:rPr>
          <w:b/>
          <w:bCs/>
          <w:sz w:val="23"/>
          <w:szCs w:val="23"/>
        </w:rPr>
        <w:t>RESOLUTION ACCEPTING THE ANNUAL AUDIT OF THE FINANCIAL STATEMENTS OF THE NASSAU COUNTY SEWER AND STORM WATER FINANCE AUTHORITY</w:t>
      </w:r>
    </w:p>
    <w:p w14:paraId="177EB0C8" w14:textId="77777777" w:rsidR="00D949FA" w:rsidRDefault="00D949FA" w:rsidP="00D949FA">
      <w:pPr>
        <w:pStyle w:val="Default"/>
        <w:jc w:val="center"/>
        <w:rPr>
          <w:sz w:val="23"/>
          <w:szCs w:val="23"/>
        </w:rPr>
      </w:pPr>
    </w:p>
    <w:p w14:paraId="309BEBA4" w14:textId="7E2488C3" w:rsidR="00D949FA" w:rsidRDefault="005D5764" w:rsidP="00D949FA">
      <w:pPr>
        <w:pStyle w:val="Default"/>
        <w:jc w:val="center"/>
        <w:rPr>
          <w:sz w:val="23"/>
          <w:szCs w:val="23"/>
        </w:rPr>
      </w:pPr>
      <w:r>
        <w:rPr>
          <w:sz w:val="23"/>
          <w:szCs w:val="23"/>
        </w:rPr>
        <w:t xml:space="preserve">March </w:t>
      </w:r>
      <w:r w:rsidR="003876F0">
        <w:rPr>
          <w:sz w:val="23"/>
          <w:szCs w:val="23"/>
        </w:rPr>
        <w:t>14</w:t>
      </w:r>
      <w:r>
        <w:rPr>
          <w:sz w:val="23"/>
          <w:szCs w:val="23"/>
        </w:rPr>
        <w:t>, 202</w:t>
      </w:r>
      <w:r w:rsidR="003876F0">
        <w:rPr>
          <w:sz w:val="23"/>
          <w:szCs w:val="23"/>
        </w:rPr>
        <w:t>4</w:t>
      </w:r>
    </w:p>
    <w:p w14:paraId="18718250" w14:textId="77777777" w:rsidR="00D949FA" w:rsidRDefault="00D949FA" w:rsidP="00D949FA">
      <w:pPr>
        <w:pStyle w:val="Default"/>
        <w:jc w:val="center"/>
        <w:rPr>
          <w:sz w:val="23"/>
          <w:szCs w:val="23"/>
        </w:rPr>
      </w:pPr>
    </w:p>
    <w:p w14:paraId="68ABB244" w14:textId="1A71F4E0" w:rsidR="00D949FA" w:rsidRDefault="00D949FA" w:rsidP="00D949FA">
      <w:pPr>
        <w:pStyle w:val="Default"/>
        <w:rPr>
          <w:sz w:val="23"/>
          <w:szCs w:val="23"/>
        </w:rPr>
      </w:pPr>
      <w:r>
        <w:rPr>
          <w:sz w:val="23"/>
          <w:szCs w:val="23"/>
        </w:rPr>
        <w:tab/>
        <w:t>WHEREAS, pursuant to Section 1232-q of the Public Authorities Law of the State of New York (the “</w:t>
      </w:r>
      <w:r w:rsidRPr="005D5764">
        <w:rPr>
          <w:sz w:val="23"/>
          <w:szCs w:val="23"/>
          <w:u w:val="single"/>
        </w:rPr>
        <w:t>PAL</w:t>
      </w:r>
      <w:r>
        <w:rPr>
          <w:sz w:val="23"/>
          <w:szCs w:val="23"/>
        </w:rPr>
        <w:t>”), an annual audit of the accounts of this Nassau County Sewer and Storm Water Finance Authority (the “</w:t>
      </w:r>
      <w:r w:rsidRPr="005D5764">
        <w:rPr>
          <w:sz w:val="23"/>
          <w:szCs w:val="23"/>
          <w:u w:val="single"/>
        </w:rPr>
        <w:t>Authority</w:t>
      </w:r>
      <w:r>
        <w:rPr>
          <w:sz w:val="23"/>
          <w:szCs w:val="23"/>
        </w:rPr>
        <w:t xml:space="preserve">”) shall be performed by an independent certified public accountant; and </w:t>
      </w:r>
    </w:p>
    <w:p w14:paraId="20CBF24B" w14:textId="77777777" w:rsidR="00D949FA" w:rsidRDefault="00D949FA" w:rsidP="00D949FA">
      <w:pPr>
        <w:pStyle w:val="Default"/>
        <w:rPr>
          <w:sz w:val="23"/>
          <w:szCs w:val="23"/>
        </w:rPr>
      </w:pPr>
    </w:p>
    <w:p w14:paraId="1DE2C3AE" w14:textId="64257042" w:rsidR="00D949FA" w:rsidRDefault="00D949FA" w:rsidP="00D949FA">
      <w:pPr>
        <w:pStyle w:val="Default"/>
        <w:rPr>
          <w:sz w:val="23"/>
          <w:szCs w:val="23"/>
        </w:rPr>
      </w:pPr>
      <w:r>
        <w:rPr>
          <w:sz w:val="23"/>
          <w:szCs w:val="23"/>
        </w:rPr>
        <w:tab/>
        <w:t>WHEREAS, Section 2802(2) of the PAL requires the Authority to submit to the County Executive of Nassau County (the “</w:t>
      </w:r>
      <w:r w:rsidRPr="00D949FA">
        <w:rPr>
          <w:sz w:val="23"/>
          <w:szCs w:val="23"/>
          <w:u w:val="single"/>
        </w:rPr>
        <w:t>County</w:t>
      </w:r>
      <w:r>
        <w:rPr>
          <w:sz w:val="23"/>
          <w:szCs w:val="23"/>
        </w:rPr>
        <w:t>”), the County Treasurer, the Presiding Officer of the County Legislature and the State Authorities Budget Office (“</w:t>
      </w:r>
      <w:r w:rsidRPr="00D949FA">
        <w:rPr>
          <w:sz w:val="23"/>
          <w:szCs w:val="23"/>
          <w:u w:val="single"/>
        </w:rPr>
        <w:t>ABO</w:t>
      </w:r>
      <w:r>
        <w:rPr>
          <w:sz w:val="23"/>
          <w:szCs w:val="23"/>
        </w:rPr>
        <w:t xml:space="preserve">”), together with the annual report described in Section 2800 of the PAL, a copy of the annual independent audit report performed by a certified public accounting firm in accordance with generally accepted auditing standards and management letter; and </w:t>
      </w:r>
    </w:p>
    <w:p w14:paraId="0B509169" w14:textId="77777777" w:rsidR="00D949FA" w:rsidRDefault="00D949FA" w:rsidP="00D949FA">
      <w:pPr>
        <w:pStyle w:val="Default"/>
        <w:rPr>
          <w:sz w:val="23"/>
          <w:szCs w:val="23"/>
        </w:rPr>
      </w:pPr>
    </w:p>
    <w:p w14:paraId="1F79B00C" w14:textId="39A38D0A" w:rsidR="00D949FA" w:rsidRDefault="00D949FA" w:rsidP="00D949FA">
      <w:pPr>
        <w:pStyle w:val="Default"/>
        <w:rPr>
          <w:sz w:val="23"/>
          <w:szCs w:val="23"/>
        </w:rPr>
      </w:pPr>
      <w:r>
        <w:rPr>
          <w:sz w:val="23"/>
          <w:szCs w:val="23"/>
        </w:rPr>
        <w:tab/>
        <w:t xml:space="preserve">WHEREAS, pursuant to Section 3.09 of the Financing Agreement dated as of October 1, </w:t>
      </w:r>
      <w:proofErr w:type="gramStart"/>
      <w:r>
        <w:rPr>
          <w:sz w:val="23"/>
          <w:szCs w:val="23"/>
        </w:rPr>
        <w:t>2014</w:t>
      </w:r>
      <w:proofErr w:type="gramEnd"/>
      <w:r>
        <w:rPr>
          <w:sz w:val="23"/>
          <w:szCs w:val="23"/>
        </w:rPr>
        <w:t xml:space="preserve"> between the County and the Authority, the Authority has agreed to utilize the procurement processes of the County whenever possible to assist the Authority in carrying out its purposes and the County agrees to make such procurement processes available therefor; and </w:t>
      </w:r>
    </w:p>
    <w:p w14:paraId="526678FF" w14:textId="77777777" w:rsidR="00D949FA" w:rsidRDefault="00D949FA" w:rsidP="00D949FA">
      <w:pPr>
        <w:pStyle w:val="Default"/>
        <w:rPr>
          <w:sz w:val="23"/>
          <w:szCs w:val="23"/>
        </w:rPr>
      </w:pPr>
    </w:p>
    <w:p w14:paraId="1A637AED" w14:textId="4E6EF86C" w:rsidR="00D949FA" w:rsidRDefault="00D949FA" w:rsidP="00D949FA">
      <w:pPr>
        <w:pStyle w:val="Default"/>
        <w:rPr>
          <w:sz w:val="23"/>
          <w:szCs w:val="23"/>
        </w:rPr>
      </w:pPr>
      <w:r>
        <w:rPr>
          <w:sz w:val="23"/>
          <w:szCs w:val="23"/>
        </w:rPr>
        <w:tab/>
      </w:r>
      <w:proofErr w:type="gramStart"/>
      <w:r>
        <w:rPr>
          <w:sz w:val="23"/>
          <w:szCs w:val="23"/>
        </w:rPr>
        <w:t>WHEREAS,</w:t>
      </w:r>
      <w:proofErr w:type="gramEnd"/>
      <w:r>
        <w:rPr>
          <w:sz w:val="23"/>
          <w:szCs w:val="23"/>
        </w:rPr>
        <w:t xml:space="preserve"> County staff has prepared the fiscal year 202</w:t>
      </w:r>
      <w:r w:rsidR="00102B9F">
        <w:rPr>
          <w:sz w:val="23"/>
          <w:szCs w:val="23"/>
        </w:rPr>
        <w:t>3</w:t>
      </w:r>
      <w:r>
        <w:rPr>
          <w:sz w:val="23"/>
          <w:szCs w:val="23"/>
        </w:rPr>
        <w:t xml:space="preserve"> financial statements of the Authority with the assistance of County contractor PKF O’Connor Davies, LLP (“</w:t>
      </w:r>
      <w:r w:rsidRPr="00876393">
        <w:rPr>
          <w:sz w:val="23"/>
          <w:szCs w:val="23"/>
          <w:u w:val="single"/>
        </w:rPr>
        <w:t>PKFOCD</w:t>
      </w:r>
      <w:r>
        <w:rPr>
          <w:sz w:val="23"/>
          <w:szCs w:val="23"/>
        </w:rPr>
        <w:t xml:space="preserve">”); and </w:t>
      </w:r>
    </w:p>
    <w:p w14:paraId="6550B356" w14:textId="77777777" w:rsidR="00876393" w:rsidRDefault="00876393" w:rsidP="00D949FA">
      <w:pPr>
        <w:pStyle w:val="Default"/>
        <w:rPr>
          <w:sz w:val="23"/>
          <w:szCs w:val="23"/>
        </w:rPr>
      </w:pPr>
    </w:p>
    <w:p w14:paraId="756FA345" w14:textId="31F2439C" w:rsidR="00D949FA" w:rsidRDefault="00876393" w:rsidP="00D949FA">
      <w:pPr>
        <w:pStyle w:val="Default"/>
        <w:rPr>
          <w:sz w:val="23"/>
          <w:szCs w:val="23"/>
        </w:rPr>
      </w:pPr>
      <w:r>
        <w:rPr>
          <w:sz w:val="23"/>
          <w:szCs w:val="23"/>
        </w:rPr>
        <w:tab/>
      </w:r>
      <w:r w:rsidR="00D949FA">
        <w:rPr>
          <w:sz w:val="23"/>
          <w:szCs w:val="23"/>
        </w:rPr>
        <w:t xml:space="preserve">WHEREAS, the Authority has retained the certified public accounting firm of </w:t>
      </w:r>
      <w:r w:rsidR="005D5764" w:rsidRPr="005D5764">
        <w:rPr>
          <w:sz w:val="23"/>
          <w:szCs w:val="23"/>
        </w:rPr>
        <w:t>Mayer Hoffman McCann P.C.</w:t>
      </w:r>
      <w:r w:rsidR="00D949FA">
        <w:rPr>
          <w:sz w:val="23"/>
          <w:szCs w:val="23"/>
        </w:rPr>
        <w:t xml:space="preserve"> (“</w:t>
      </w:r>
      <w:r w:rsidR="005D5764" w:rsidRPr="005D5764">
        <w:rPr>
          <w:sz w:val="23"/>
          <w:szCs w:val="23"/>
          <w:u w:val="single"/>
        </w:rPr>
        <w:t>MHM</w:t>
      </w:r>
      <w:r w:rsidR="00D949FA">
        <w:rPr>
          <w:sz w:val="23"/>
          <w:szCs w:val="23"/>
        </w:rPr>
        <w:t xml:space="preserve">”) to perform the annual independent audit report for such fiscal year of the Authority; and </w:t>
      </w:r>
    </w:p>
    <w:p w14:paraId="1CFD8AD3" w14:textId="77777777" w:rsidR="00876393" w:rsidRDefault="00876393" w:rsidP="00D949FA">
      <w:pPr>
        <w:pStyle w:val="Default"/>
        <w:rPr>
          <w:sz w:val="23"/>
          <w:szCs w:val="23"/>
        </w:rPr>
      </w:pPr>
    </w:p>
    <w:p w14:paraId="56D791B7" w14:textId="76818533" w:rsidR="00D949FA" w:rsidRDefault="00876393" w:rsidP="00D949FA">
      <w:pPr>
        <w:pStyle w:val="Default"/>
        <w:rPr>
          <w:sz w:val="23"/>
          <w:szCs w:val="23"/>
        </w:rPr>
      </w:pPr>
      <w:r>
        <w:rPr>
          <w:sz w:val="23"/>
          <w:szCs w:val="23"/>
        </w:rPr>
        <w:tab/>
      </w:r>
      <w:r w:rsidR="00D949FA">
        <w:rPr>
          <w:sz w:val="23"/>
          <w:szCs w:val="23"/>
        </w:rPr>
        <w:t xml:space="preserve">WHEREAS, the ABO requires the Authority, when submitting annual independent audit reports to such office through its website, to certify that the information therein has been presented to and accepted by the Authority’s board; and </w:t>
      </w:r>
    </w:p>
    <w:p w14:paraId="61DFF3B4" w14:textId="77777777" w:rsidR="00876393" w:rsidRDefault="00876393" w:rsidP="00D949FA">
      <w:pPr>
        <w:pStyle w:val="Default"/>
        <w:rPr>
          <w:sz w:val="23"/>
          <w:szCs w:val="23"/>
        </w:rPr>
      </w:pPr>
    </w:p>
    <w:p w14:paraId="26FDF8DE" w14:textId="2D672BEF" w:rsidR="00D949FA" w:rsidRDefault="00876393" w:rsidP="00D949FA">
      <w:pPr>
        <w:pStyle w:val="Default"/>
        <w:rPr>
          <w:sz w:val="23"/>
          <w:szCs w:val="23"/>
        </w:rPr>
      </w:pPr>
      <w:r>
        <w:rPr>
          <w:sz w:val="23"/>
          <w:szCs w:val="23"/>
        </w:rPr>
        <w:tab/>
      </w:r>
      <w:proofErr w:type="gramStart"/>
      <w:r w:rsidR="00D949FA">
        <w:rPr>
          <w:sz w:val="23"/>
          <w:szCs w:val="23"/>
        </w:rPr>
        <w:t>WHEREAS,</w:t>
      </w:r>
      <w:proofErr w:type="gramEnd"/>
      <w:r w:rsidR="00D949FA">
        <w:rPr>
          <w:sz w:val="23"/>
          <w:szCs w:val="23"/>
        </w:rPr>
        <w:t xml:space="preserve"> representatives of PKFOCD and </w:t>
      </w:r>
      <w:r w:rsidR="005D5764">
        <w:rPr>
          <w:sz w:val="23"/>
          <w:szCs w:val="23"/>
        </w:rPr>
        <w:t>MHM</w:t>
      </w:r>
      <w:r w:rsidR="00D949FA">
        <w:rPr>
          <w:sz w:val="23"/>
          <w:szCs w:val="23"/>
        </w:rPr>
        <w:t xml:space="preserve">, respectively, have provided the financial statements and independent audit report and management letter for said fiscal year to the Authority and have presented and discussed them with the governing body of the Authority; now therefore, be it </w:t>
      </w:r>
    </w:p>
    <w:p w14:paraId="2B9BAAC8" w14:textId="77777777" w:rsidR="00876393" w:rsidRDefault="00876393" w:rsidP="00D949FA">
      <w:pPr>
        <w:pStyle w:val="Default"/>
        <w:rPr>
          <w:sz w:val="23"/>
          <w:szCs w:val="23"/>
        </w:rPr>
      </w:pPr>
    </w:p>
    <w:p w14:paraId="3771155B" w14:textId="0BE9A638" w:rsidR="00767738" w:rsidRDefault="00876393" w:rsidP="00D949FA">
      <w:r>
        <w:rPr>
          <w:sz w:val="23"/>
          <w:szCs w:val="23"/>
        </w:rPr>
        <w:tab/>
      </w:r>
      <w:r w:rsidR="00D949FA">
        <w:rPr>
          <w:sz w:val="23"/>
          <w:szCs w:val="23"/>
        </w:rPr>
        <w:t>RESOLVED, that the Authority hereby accepts the financial statements and annual independent audit report and management letter for the Authority’s 202</w:t>
      </w:r>
      <w:r w:rsidR="00A07280">
        <w:rPr>
          <w:sz w:val="23"/>
          <w:szCs w:val="23"/>
        </w:rPr>
        <w:t>3</w:t>
      </w:r>
      <w:r w:rsidR="00D949FA">
        <w:rPr>
          <w:sz w:val="23"/>
          <w:szCs w:val="23"/>
        </w:rPr>
        <w:t xml:space="preserve"> fiscal year, in the form presented to the members.</w:t>
      </w:r>
    </w:p>
    <w:sectPr w:rsidR="00336E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9D8C6"/>
    <w:multiLevelType w:val="hybridMultilevel"/>
    <w:tmpl w:val="78781A6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84244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949FA"/>
    <w:rsid w:val="00102B9F"/>
    <w:rsid w:val="00145258"/>
    <w:rsid w:val="003876F0"/>
    <w:rsid w:val="005D5764"/>
    <w:rsid w:val="006275B6"/>
    <w:rsid w:val="007416A2"/>
    <w:rsid w:val="00876393"/>
    <w:rsid w:val="00877634"/>
    <w:rsid w:val="00A07280"/>
    <w:rsid w:val="00A5396B"/>
    <w:rsid w:val="00D24A50"/>
    <w:rsid w:val="00D949FA"/>
    <w:rsid w:val="00ED3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070CF"/>
  <w15:chartTrackingRefBased/>
  <w15:docId w15:val="{D2B23627-1C34-4AAF-ABCE-AB8AFDFA6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Arial"/>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49FA"/>
    <w:pPr>
      <w:autoSpaceDE w:val="0"/>
      <w:autoSpaceDN w:val="0"/>
      <w:adjustRightInd w:val="0"/>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Gallagher, Patrick R</dc:creator>
  <cp:keywords/>
  <dc:description/>
  <cp:lastModifiedBy>Gallagher, Patrick R</cp:lastModifiedBy>
  <cp:revision>2</cp:revision>
  <dcterms:created xsi:type="dcterms:W3CDTF">2024-03-07T21:31:00Z</dcterms:created>
  <dcterms:modified xsi:type="dcterms:W3CDTF">2024-03-07T21:31:00Z</dcterms:modified>
</cp:coreProperties>
</file>